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436" w:rsidRDefault="009B1DF8">
      <w:r w:rsidRPr="00B83D9B">
        <w:rPr>
          <w:noProof/>
        </w:rPr>
        <w:drawing>
          <wp:inline distT="0" distB="0" distL="0" distR="0">
            <wp:extent cx="5760720" cy="7696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DF8" w:rsidRPr="00B62EB5" w:rsidRDefault="009B1DF8" w:rsidP="009B1DF8">
      <w:pPr>
        <w:jc w:val="right"/>
        <w:rPr>
          <w:rFonts w:ascii="Times New Roman" w:hAnsi="Times New Roman" w:cs="Times New Roman"/>
          <w:i/>
          <w:sz w:val="22"/>
        </w:rPr>
      </w:pPr>
      <w:r w:rsidRPr="00B62EB5">
        <w:rPr>
          <w:rFonts w:ascii="Times New Roman" w:hAnsi="Times New Roman" w:cs="Times New Roman"/>
          <w:i/>
          <w:sz w:val="22"/>
        </w:rPr>
        <w:t>Załącznik nr 3 do pisma: KO.I.3146.</w:t>
      </w:r>
      <w:r w:rsidR="004A5857">
        <w:rPr>
          <w:rFonts w:ascii="Times New Roman" w:hAnsi="Times New Roman" w:cs="Times New Roman"/>
          <w:i/>
          <w:sz w:val="22"/>
        </w:rPr>
        <w:t>5</w:t>
      </w:r>
      <w:r w:rsidRPr="00B62EB5">
        <w:rPr>
          <w:rFonts w:ascii="Times New Roman" w:hAnsi="Times New Roman" w:cs="Times New Roman"/>
          <w:i/>
          <w:sz w:val="22"/>
        </w:rPr>
        <w:t>.2.202</w:t>
      </w:r>
      <w:r w:rsidR="004A5857">
        <w:rPr>
          <w:rFonts w:ascii="Times New Roman" w:hAnsi="Times New Roman" w:cs="Times New Roman"/>
          <w:i/>
          <w:sz w:val="22"/>
        </w:rPr>
        <w:t>3</w:t>
      </w:r>
      <w:r w:rsidRPr="00B62EB5">
        <w:rPr>
          <w:rFonts w:ascii="Times New Roman" w:hAnsi="Times New Roman" w:cs="Times New Roman"/>
          <w:i/>
          <w:sz w:val="22"/>
        </w:rPr>
        <w:t>.JH</w:t>
      </w:r>
    </w:p>
    <w:p w:rsidR="009B1DF8" w:rsidRPr="009B1DF8" w:rsidRDefault="009B1DF8">
      <w:pPr>
        <w:rPr>
          <w:rFonts w:ascii="Times New Roman" w:hAnsi="Times New Roman" w:cs="Times New Roman"/>
        </w:rPr>
      </w:pPr>
    </w:p>
    <w:p w:rsidR="00B62EB5" w:rsidRDefault="00B62EB5" w:rsidP="00B62EB5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1DF8" w:rsidRPr="009B1DF8" w:rsidRDefault="009B1DF8" w:rsidP="00B62EB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B1DF8">
        <w:rPr>
          <w:rFonts w:ascii="Times New Roman" w:hAnsi="Times New Roman" w:cs="Times New Roman"/>
          <w:b/>
          <w:sz w:val="26"/>
          <w:szCs w:val="26"/>
        </w:rPr>
        <w:t>Informacja</w:t>
      </w:r>
    </w:p>
    <w:p w:rsidR="009B1DF8" w:rsidRPr="009B1DF8" w:rsidRDefault="009B1DF8">
      <w:pPr>
        <w:rPr>
          <w:rFonts w:ascii="Times New Roman" w:hAnsi="Times New Roman" w:cs="Times New Roman"/>
        </w:rPr>
      </w:pPr>
    </w:p>
    <w:p w:rsidR="009B1DF8" w:rsidRPr="009F4130" w:rsidRDefault="009B1DF8" w:rsidP="00F46963">
      <w:pPr>
        <w:spacing w:line="276" w:lineRule="auto"/>
        <w:jc w:val="both"/>
        <w:rPr>
          <w:rFonts w:ascii="Times New Roman" w:hAnsi="Times New Roman" w:cs="Times New Roman"/>
        </w:rPr>
      </w:pPr>
      <w:r w:rsidRPr="009F4130">
        <w:rPr>
          <w:rFonts w:ascii="Times New Roman" w:hAnsi="Times New Roman" w:cs="Times New Roman"/>
        </w:rPr>
        <w:t>W 202</w:t>
      </w:r>
      <w:r w:rsidR="004A5857" w:rsidRPr="009F4130">
        <w:rPr>
          <w:rFonts w:ascii="Times New Roman" w:hAnsi="Times New Roman" w:cs="Times New Roman"/>
        </w:rPr>
        <w:t>3</w:t>
      </w:r>
      <w:r w:rsidRPr="009F4130">
        <w:rPr>
          <w:rFonts w:ascii="Times New Roman" w:hAnsi="Times New Roman" w:cs="Times New Roman"/>
        </w:rPr>
        <w:t xml:space="preserve"> r. wysokość dotacji dla danej jednostki samorządu terytorialnego stanowi iloczyn kwoty rocznej (w roku 202</w:t>
      </w:r>
      <w:r w:rsidR="004A5857" w:rsidRPr="009F4130">
        <w:rPr>
          <w:rFonts w:ascii="Times New Roman" w:hAnsi="Times New Roman" w:cs="Times New Roman"/>
        </w:rPr>
        <w:t>3</w:t>
      </w:r>
      <w:r w:rsidRPr="009F4130">
        <w:rPr>
          <w:rFonts w:ascii="Times New Roman" w:hAnsi="Times New Roman" w:cs="Times New Roman"/>
        </w:rPr>
        <w:t xml:space="preserve"> – </w:t>
      </w:r>
      <w:r w:rsidR="004A5857" w:rsidRPr="009F4130">
        <w:rPr>
          <w:rFonts w:ascii="Times New Roman" w:hAnsi="Times New Roman" w:cs="Times New Roman"/>
          <w:b/>
        </w:rPr>
        <w:t xml:space="preserve">1.607,35 </w:t>
      </w:r>
      <w:r w:rsidRPr="009F4130">
        <w:rPr>
          <w:rFonts w:ascii="Times New Roman" w:hAnsi="Times New Roman" w:cs="Times New Roman"/>
          <w:b/>
        </w:rPr>
        <w:t>zł</w:t>
      </w:r>
      <w:r w:rsidRPr="009F4130">
        <w:rPr>
          <w:rFonts w:ascii="Times New Roman" w:hAnsi="Times New Roman" w:cs="Times New Roman"/>
        </w:rPr>
        <w:t xml:space="preserve">) oraz liczby uczniów w wieku do lat 5-ciu </w:t>
      </w:r>
      <w:r w:rsidR="00C00C1E" w:rsidRPr="009F4130">
        <w:rPr>
          <w:rFonts w:ascii="Times New Roman" w:hAnsi="Times New Roman" w:cs="Times New Roman"/>
        </w:rPr>
        <w:br/>
      </w:r>
      <w:r w:rsidRPr="009F4130">
        <w:rPr>
          <w:rFonts w:ascii="Times New Roman" w:hAnsi="Times New Roman" w:cs="Times New Roman"/>
        </w:rPr>
        <w:t>w placówkach wychowania przedszkolnego:</w:t>
      </w:r>
    </w:p>
    <w:p w:rsidR="009B1DF8" w:rsidRPr="009F4130" w:rsidRDefault="009B1DF8" w:rsidP="00F46963">
      <w:pPr>
        <w:pStyle w:val="Akapitzlist"/>
        <w:numPr>
          <w:ilvl w:val="0"/>
          <w:numId w:val="1"/>
        </w:numPr>
        <w:tabs>
          <w:tab w:val="num" w:pos="720"/>
          <w:tab w:val="left" w:pos="3885"/>
        </w:tabs>
        <w:spacing w:line="276" w:lineRule="auto"/>
        <w:ind w:hanging="360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F4130">
        <w:rPr>
          <w:rFonts w:ascii="Times New Roman" w:eastAsia="Times New Roman" w:hAnsi="Times New Roman" w:cs="Times New Roman"/>
          <w:color w:val="auto"/>
          <w:bdr w:val="none" w:sz="0" w:space="0" w:color="auto"/>
        </w:rPr>
        <w:t xml:space="preserve">prowadzonych przez tę jednostkę samorządu terytorialnego, </w:t>
      </w:r>
    </w:p>
    <w:p w:rsidR="009B1DF8" w:rsidRPr="009F4130" w:rsidRDefault="009B1DF8" w:rsidP="00F46963">
      <w:pPr>
        <w:pStyle w:val="Akapitzlist"/>
        <w:tabs>
          <w:tab w:val="left" w:pos="3885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F4130">
        <w:rPr>
          <w:rFonts w:ascii="Times New Roman" w:eastAsia="Times New Roman" w:hAnsi="Times New Roman" w:cs="Times New Roman"/>
          <w:color w:val="auto"/>
          <w:bdr w:val="none" w:sz="0" w:space="0" w:color="auto"/>
        </w:rPr>
        <w:t>oraz</w:t>
      </w:r>
    </w:p>
    <w:p w:rsidR="009B1DF8" w:rsidRPr="009F4130" w:rsidRDefault="009B1DF8" w:rsidP="00F46963">
      <w:pPr>
        <w:pStyle w:val="Akapitzlist"/>
        <w:numPr>
          <w:ilvl w:val="0"/>
          <w:numId w:val="1"/>
        </w:numPr>
        <w:tabs>
          <w:tab w:val="num" w:pos="720"/>
          <w:tab w:val="left" w:pos="3885"/>
        </w:tabs>
        <w:spacing w:line="276" w:lineRule="auto"/>
        <w:ind w:hanging="360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F4130">
        <w:rPr>
          <w:rFonts w:ascii="Times New Roman" w:eastAsia="Times New Roman" w:hAnsi="Times New Roman" w:cs="Times New Roman"/>
          <w:color w:val="auto"/>
          <w:bdr w:val="none" w:sz="0" w:space="0" w:color="auto"/>
        </w:rPr>
        <w:t>dla których ta jednostka samorządu terytorialnego jest organem rejestrującym</w:t>
      </w:r>
    </w:p>
    <w:p w:rsidR="009B1DF8" w:rsidRPr="009F4130" w:rsidRDefault="009B1DF8" w:rsidP="00F46963">
      <w:pPr>
        <w:spacing w:line="276" w:lineRule="auto"/>
        <w:jc w:val="both"/>
        <w:rPr>
          <w:rFonts w:ascii="Times New Roman" w:hAnsi="Times New Roman" w:cs="Times New Roman"/>
        </w:rPr>
      </w:pPr>
      <w:r w:rsidRPr="009F4130">
        <w:rPr>
          <w:rFonts w:ascii="Times New Roman" w:hAnsi="Times New Roman" w:cs="Times New Roman"/>
        </w:rPr>
        <w:t xml:space="preserve">– ustalonej na podstawie danych systemu informacji oświatowej, według stanu na dzień </w:t>
      </w:r>
      <w:r w:rsidR="009F4130">
        <w:rPr>
          <w:rFonts w:ascii="Times New Roman" w:hAnsi="Times New Roman" w:cs="Times New Roman"/>
        </w:rPr>
        <w:br/>
      </w:r>
      <w:r w:rsidRPr="009F4130">
        <w:rPr>
          <w:rFonts w:ascii="Times New Roman" w:hAnsi="Times New Roman" w:cs="Times New Roman"/>
        </w:rPr>
        <w:t>30 września 20</w:t>
      </w:r>
      <w:r w:rsidR="009A629C" w:rsidRPr="009F4130">
        <w:rPr>
          <w:rFonts w:ascii="Times New Roman" w:hAnsi="Times New Roman" w:cs="Times New Roman"/>
        </w:rPr>
        <w:t>2</w:t>
      </w:r>
      <w:r w:rsidR="009F4130" w:rsidRPr="009F4130">
        <w:rPr>
          <w:rFonts w:ascii="Times New Roman" w:hAnsi="Times New Roman" w:cs="Times New Roman"/>
        </w:rPr>
        <w:t>2</w:t>
      </w:r>
      <w:r w:rsidRPr="009F4130">
        <w:rPr>
          <w:rFonts w:ascii="Times New Roman" w:hAnsi="Times New Roman" w:cs="Times New Roman"/>
        </w:rPr>
        <w:t xml:space="preserve"> roku, pomniejszonej w przypadku gmin o liczbę dzieci nieprzyjętych do placówki wychowania przedszkolnego.</w:t>
      </w:r>
    </w:p>
    <w:p w:rsidR="00323808" w:rsidRDefault="00323808" w:rsidP="00F46963">
      <w:pPr>
        <w:spacing w:line="276" w:lineRule="auto"/>
        <w:jc w:val="both"/>
        <w:rPr>
          <w:rFonts w:ascii="Times New Roman" w:hAnsi="Times New Roman" w:cs="Times New Roman"/>
        </w:rPr>
      </w:pPr>
    </w:p>
    <w:p w:rsidR="009F4130" w:rsidRPr="009F4130" w:rsidRDefault="009F4130" w:rsidP="00F46963">
      <w:pPr>
        <w:spacing w:line="276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F4130">
        <w:rPr>
          <w:rFonts w:ascii="Times New Roman" w:hAnsi="Times New Roman" w:cs="Times New Roman"/>
        </w:rPr>
        <w:t>Zgodnie z art. 39 ustawy z dnia 1 grudnia 2022 r. o szczególnych rozwiązaniach służących realizacji ustawy budżetowej na rok 2023 (Dz. U z 2022 r. poz. 2666) przy naliczaniu i podziale dotacji nie uwzględnia się uczniów będących obywatelami Ukrainy, których pobyt na terytorium Rzeczypospolitej Polskiej jest uznawany za legalny na podstawie art. 2 ust. 1 ustawy z dnia 12 marca 2022 r. o pomocy obywatelom Ukrainy w związku z konfliktem zbrojnym na terytorium tego państwa, objętych wychowaniem przedszkolnym.</w:t>
      </w:r>
    </w:p>
    <w:p w:rsidR="009F4130" w:rsidRPr="009F4130" w:rsidRDefault="009F4130" w:rsidP="00F46963">
      <w:pPr>
        <w:spacing w:line="276" w:lineRule="auto"/>
        <w:jc w:val="both"/>
        <w:rPr>
          <w:rFonts w:ascii="Times New Roman" w:hAnsi="Times New Roman" w:cs="Times New Roman"/>
        </w:rPr>
      </w:pPr>
    </w:p>
    <w:p w:rsidR="009F4130" w:rsidRPr="009F4130" w:rsidRDefault="00B62EB5" w:rsidP="00F46963">
      <w:pPr>
        <w:spacing w:line="276" w:lineRule="auto"/>
        <w:jc w:val="both"/>
        <w:rPr>
          <w:rFonts w:ascii="Times New Roman" w:hAnsi="Times New Roman" w:cs="Times New Roman"/>
        </w:rPr>
      </w:pPr>
      <w:r w:rsidRPr="009F4130">
        <w:rPr>
          <w:rFonts w:ascii="Times New Roman" w:hAnsi="Times New Roman" w:cs="Times New Roman"/>
        </w:rPr>
        <w:t>Podział dotacji w przypadku miast na prawach powiatu został dokonany łącznie dla części gminnej i powiatowej. Do decyzji jednostki samorządu terytorialnego pozostaje sposób podziału kwoty pomiędzy część gminną i powiatową.</w:t>
      </w:r>
    </w:p>
    <w:p w:rsidR="009F4130" w:rsidRPr="009F4130" w:rsidRDefault="009F4130" w:rsidP="00F46963">
      <w:pPr>
        <w:spacing w:line="276" w:lineRule="auto"/>
        <w:jc w:val="both"/>
        <w:rPr>
          <w:rFonts w:ascii="Times New Roman" w:hAnsi="Times New Roman" w:cs="Times New Roman"/>
        </w:rPr>
      </w:pPr>
      <w:r w:rsidRPr="009F4130">
        <w:rPr>
          <w:rFonts w:ascii="Times New Roman" w:hAnsi="Times New Roman" w:cs="Times New Roman"/>
        </w:rPr>
        <w:t>Kwoty dotacji dla poszczególnych jednostek samorządu terytorialnego zostały zaokrąglone do pełnych złotych.</w:t>
      </w:r>
    </w:p>
    <w:p w:rsidR="00F46963" w:rsidRPr="009F4130" w:rsidRDefault="00F46963" w:rsidP="00F46963">
      <w:pPr>
        <w:spacing w:line="276" w:lineRule="auto"/>
        <w:jc w:val="both"/>
        <w:rPr>
          <w:rFonts w:ascii="Times New Roman" w:hAnsi="Times New Roman" w:cs="Times New Roman"/>
        </w:rPr>
      </w:pPr>
    </w:p>
    <w:p w:rsidR="009B1DF8" w:rsidRPr="009F4130" w:rsidRDefault="009B1DF8" w:rsidP="00F46963">
      <w:pPr>
        <w:spacing w:line="276" w:lineRule="auto"/>
        <w:jc w:val="both"/>
        <w:rPr>
          <w:rFonts w:ascii="Times New Roman" w:hAnsi="Times New Roman" w:cs="Times New Roman"/>
        </w:rPr>
      </w:pPr>
      <w:r w:rsidRPr="009F4130">
        <w:rPr>
          <w:rFonts w:ascii="Times New Roman" w:hAnsi="Times New Roman" w:cs="Times New Roman"/>
        </w:rPr>
        <w:t>Zgodnie z rozporządzeniem Ministra Edukacji Narodowej z dnia 14 grudnia 2017 r. w sprawie udzielania jednostkom samorządu terytorialnego dotacji celowej z budżetu państwa na dofinansowanie zadań w zakresie wychowania przedszkolnego (Dz. U 2017 r. poz. 2425) rozliczenie wykorzystania dotacji z budżetu państwa, dotyczy wydatków bieżących, na których poniesienie jednostka samorządu terytorialnego nie otrzymała dofinansowania ze środków europejskich, w rozumieniu przepisów o finansach publicznych.</w:t>
      </w:r>
    </w:p>
    <w:p w:rsidR="009B1DF8" w:rsidRPr="009F4130" w:rsidRDefault="009B1DF8" w:rsidP="00F46963">
      <w:pPr>
        <w:spacing w:line="276" w:lineRule="auto"/>
        <w:rPr>
          <w:rFonts w:ascii="Times New Roman" w:hAnsi="Times New Roman" w:cs="Times New Roman"/>
        </w:rPr>
      </w:pPr>
    </w:p>
    <w:sectPr w:rsidR="009B1DF8" w:rsidRPr="009F4130" w:rsidSect="009B1DF8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C1F1B"/>
    <w:multiLevelType w:val="multilevel"/>
    <w:tmpl w:val="222A1EBE"/>
    <w:styleLink w:val="List1"/>
    <w:lvl w:ilvl="0">
      <w:start w:val="1"/>
      <w:numFmt w:val="lowerLetter"/>
      <w:lvlText w:val="%1)"/>
      <w:lvlJc w:val="left"/>
      <w:rPr>
        <w:color w:val="000000"/>
        <w:position w:val="0"/>
        <w:u w:color="000000"/>
        <w:rtl w:val="0"/>
      </w:rPr>
    </w:lvl>
    <w:lvl w:ilvl="1">
      <w:start w:val="1"/>
      <w:numFmt w:val="lowerLetter"/>
      <w:lvlText w:val="%2."/>
      <w:lvlJc w:val="left"/>
      <w:rPr>
        <w:color w:val="000000"/>
        <w:position w:val="0"/>
        <w:u w:color="000000"/>
        <w:rtl w:val="0"/>
      </w:rPr>
    </w:lvl>
    <w:lvl w:ilvl="2">
      <w:start w:val="1"/>
      <w:numFmt w:val="lowerRoman"/>
      <w:lvlText w:val="%3."/>
      <w:lvlJc w:val="left"/>
      <w:rPr>
        <w:color w:val="000000"/>
        <w:position w:val="0"/>
        <w:u w:color="000000"/>
        <w:rtl w:val="0"/>
      </w:rPr>
    </w:lvl>
    <w:lvl w:ilvl="3">
      <w:start w:val="1"/>
      <w:numFmt w:val="decimal"/>
      <w:lvlText w:val="%4."/>
      <w:lvlJc w:val="left"/>
      <w:rPr>
        <w:color w:val="000000"/>
        <w:position w:val="0"/>
        <w:u w:color="000000"/>
        <w:rtl w:val="0"/>
      </w:rPr>
    </w:lvl>
    <w:lvl w:ilvl="4">
      <w:start w:val="1"/>
      <w:numFmt w:val="lowerLetter"/>
      <w:lvlText w:val="%5."/>
      <w:lvlJc w:val="left"/>
      <w:rPr>
        <w:color w:val="000000"/>
        <w:position w:val="0"/>
        <w:u w:color="000000"/>
        <w:rtl w:val="0"/>
      </w:rPr>
    </w:lvl>
    <w:lvl w:ilvl="5">
      <w:start w:val="1"/>
      <w:numFmt w:val="lowerRoman"/>
      <w:lvlText w:val="%6."/>
      <w:lvlJc w:val="left"/>
      <w:rPr>
        <w:color w:val="000000"/>
        <w:position w:val="0"/>
        <w:u w:color="00000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u w:color="00000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u w:color="00000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u w:color="000000"/>
        <w:rtl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DF8"/>
    <w:rsid w:val="002076C1"/>
    <w:rsid w:val="00287010"/>
    <w:rsid w:val="00323808"/>
    <w:rsid w:val="004A5857"/>
    <w:rsid w:val="008425C2"/>
    <w:rsid w:val="009A629C"/>
    <w:rsid w:val="009B1DF8"/>
    <w:rsid w:val="009F4130"/>
    <w:rsid w:val="00B62EB5"/>
    <w:rsid w:val="00C00C1E"/>
    <w:rsid w:val="00CA56E7"/>
    <w:rsid w:val="00D93436"/>
    <w:rsid w:val="00F4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0B294"/>
  <w15:chartTrackingRefBased/>
  <w15:docId w15:val="{976159A8-89D3-4232-A8F7-0113B373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DF8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rsid w:val="009B1D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Arial" w:eastAsia="Arial Unicode MS" w:hAnsi="Arial Unicode MS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List1">
    <w:name w:val="List 1"/>
    <w:basedOn w:val="Bezlisty"/>
    <w:rsid w:val="009B1DF8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2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29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4</cp:revision>
  <cp:lastPrinted>2023-02-17T13:51:00Z</cp:lastPrinted>
  <dcterms:created xsi:type="dcterms:W3CDTF">2023-02-17T13:22:00Z</dcterms:created>
  <dcterms:modified xsi:type="dcterms:W3CDTF">2023-02-20T07:45:00Z</dcterms:modified>
</cp:coreProperties>
</file>